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75" w:lineRule="atLeast"/>
        <w:jc w:val="center"/>
        <w:rPr>
          <w:rFonts w:hint="eastAsia" w:ascii="宋体" w:eastAsia="宋体" w:cs="宋体"/>
          <w:b/>
          <w:color w:val="001D4C"/>
          <w:kern w:val="0"/>
          <w:sz w:val="36"/>
          <w:u w:val="single"/>
          <w:lang w:eastAsia="zh-CN"/>
        </w:rPr>
      </w:pPr>
      <w:r>
        <w:rPr>
          <w:rFonts w:hint="eastAsia" w:ascii="宋体" w:cs="宋体"/>
          <w:b/>
          <w:color w:val="001D4C"/>
          <w:kern w:val="0"/>
          <w:sz w:val="36"/>
          <w:u w:val="single"/>
        </w:rPr>
        <w:t>医院无形资产价值评估资料</w:t>
      </w:r>
      <w:r>
        <w:rPr>
          <w:rFonts w:hint="eastAsia" w:ascii="宋体" w:cs="宋体"/>
          <w:b/>
          <w:color w:val="001D4C"/>
          <w:kern w:val="0"/>
          <w:sz w:val="36"/>
          <w:u w:val="single"/>
          <w:lang w:eastAsia="zh-CN"/>
        </w:rPr>
        <w:t>清单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b/>
          <w:color w:val="001D4C"/>
          <w:kern w:val="0"/>
          <w:sz w:val="28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8"/>
        </w:rPr>
        <w:t>1．</w:t>
      </w:r>
      <w:r>
        <w:rPr>
          <w:rFonts w:hint="eastAsia" w:ascii="宋体" w:cs="宋体"/>
          <w:color w:val="001D4C"/>
          <w:kern w:val="0"/>
          <w:sz w:val="24"/>
        </w:rPr>
        <w:t>委托方的营业执照或医疗机构注册证书；</w:t>
      </w:r>
      <w:bookmarkStart w:id="0" w:name="_GoBack"/>
      <w:bookmarkEnd w:id="0"/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2．委托单位的基本概况: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1)资产规模、占地面积、建筑面积、床位量、仪器设备等；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2)医务人员数量，中、高级职称人数、所占比例；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3)在本院任职的著名医生、教授及工作业绩；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4)前三年在本院年均就诊人数、病床入住率；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5)医院经营模式或特色,在全国及本地区的影响；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3．前三年医院财务报表（收支情况）；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4．医院主要负责人介绍及工作业绩；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5．主要经营管理经验与重大创意及效果；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6．医务人员发表过的学术论文及著作；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7．医院近三年的业绩；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1)科研成果情况；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2)获得的荣誉及奖励情况；</w:t>
      </w:r>
    </w:p>
    <w:p>
      <w:pPr>
        <w:widowControl/>
        <w:shd w:val="clear" w:color="auto" w:fill="FFFFFF"/>
        <w:wordWrap w:val="0"/>
        <w:spacing w:line="375" w:lineRule="atLeast"/>
        <w:ind w:left="42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3)医院经济效益情况（包括社会赞助及其它收入）；</w:t>
      </w:r>
    </w:p>
    <w:p>
      <w:pPr>
        <w:widowControl/>
        <w:shd w:val="clear" w:color="auto" w:fill="FFFFFF"/>
        <w:tabs>
          <w:tab w:val="left" w:pos="360"/>
        </w:tabs>
        <w:wordWrap w:val="0"/>
        <w:spacing w:line="375" w:lineRule="atLeast"/>
        <w:ind w:left="360" w:hanging="360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8.</w:t>
      </w:r>
      <w:r>
        <w:rPr>
          <w:color w:val="001D4C"/>
          <w:kern w:val="0"/>
          <w:sz w:val="14"/>
          <w:szCs w:val="14"/>
        </w:rPr>
        <w:t xml:space="preserve"> </w:t>
      </w:r>
      <w:r>
        <w:rPr>
          <w:rFonts w:hint="eastAsia" w:ascii="宋体" w:cs="宋体"/>
          <w:color w:val="001D4C"/>
          <w:kern w:val="0"/>
          <w:sz w:val="24"/>
        </w:rPr>
        <w:t>本院参加过的国内外重大活动；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9.对社会的贡献（主要指公益事业）；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10.主要领导及医生、教授担任的社会职务；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11.近3-5年商标广告费投入；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12.医院未来五年发展预测；</w:t>
      </w:r>
    </w:p>
    <w:p>
      <w:pPr>
        <w:widowControl/>
        <w:shd w:val="clear" w:color="auto" w:fill="FFFFFF"/>
        <w:wordWrap w:val="0"/>
        <w:spacing w:line="375" w:lineRule="atLeast"/>
        <w:ind w:left="615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1)医务人员情况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 xml:space="preserve">    2)科研成果情况；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 xml:space="preserve">    3)经济效益情况；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13．同行业有关资料；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14．双方认为应提交的其它资料。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hint="eastAsia" w:ascii="宋体" w:cs="宋体"/>
          <w:b/>
          <w:color w:val="001D4C"/>
          <w:kern w:val="0"/>
          <w:sz w:val="24"/>
        </w:rPr>
      </w:pPr>
      <w:r>
        <w:rPr>
          <w:rFonts w:hint="eastAsia" w:ascii="宋体" w:cs="宋体"/>
          <w:color w:val="001D4C"/>
          <w:kern w:val="0"/>
          <w:sz w:val="24"/>
        </w:rPr>
        <w:t>15．承诺书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72FAB"/>
    <w:rsid w:val="6ED7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2018-08-31T16:42:00Z</dcterms:created>
  <dc:creator>zhangcj1996</dc:creator>
  <cp:lastModifiedBy>zhangcj1996</cp:lastModifiedBy>
  <dcterms:modified xsi:type="dcterms:W3CDTF">2018-08-31T16:46:25Z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