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outlineLvl w:val="0"/>
        <w:rPr>
          <w:rFonts w:hint="eastAsia" w:eastAsia="宋体" w:cs="Arial"/>
          <w:b/>
          <w:bCs/>
          <w:color w:val="001D4C"/>
          <w:kern w:val="36"/>
          <w:sz w:val="48"/>
          <w:szCs w:val="48"/>
          <w:u w:val="single"/>
          <w:lang w:eastAsia="zh-CN"/>
        </w:rPr>
      </w:pPr>
      <w:bookmarkStart w:id="0" w:name="_Toc15443731"/>
      <w:r>
        <w:rPr>
          <w:rFonts w:hint="eastAsia" w:cs="Arial"/>
          <w:b/>
          <w:bCs/>
          <w:color w:val="001D4C"/>
          <w:kern w:val="36"/>
          <w:sz w:val="28"/>
          <w:szCs w:val="28"/>
          <w:u w:val="none"/>
        </w:rPr>
        <w:t>企业整体资产评估资料</w:t>
      </w:r>
      <w:r>
        <w:rPr>
          <w:rFonts w:hint="eastAsia" w:cs="Arial"/>
          <w:b/>
          <w:bCs/>
          <w:color w:val="001D4C"/>
          <w:kern w:val="36"/>
          <w:sz w:val="28"/>
          <w:szCs w:val="28"/>
          <w:u w:val="none"/>
          <w:lang w:eastAsia="zh-CN"/>
        </w:rPr>
        <w:t>清单</w:t>
      </w:r>
    </w:p>
    <w:p>
      <w:pPr>
        <w:widowControl/>
        <w:shd w:val="clear" w:color="auto" w:fill="FFFFFF"/>
        <w:wordWrap w:val="0"/>
        <w:snapToGrid w:val="0"/>
        <w:spacing w:line="375" w:lineRule="atLeast"/>
        <w:outlineLvl w:val="0"/>
        <w:rPr>
          <w:rFonts w:hint="eastAsia" w:cs="Arial"/>
          <w:b/>
          <w:bCs/>
          <w:color w:val="001D4C"/>
          <w:kern w:val="36"/>
          <w:sz w:val="48"/>
          <w:szCs w:val="48"/>
          <w:u w:val="single"/>
        </w:rPr>
      </w:pPr>
    </w:p>
    <w:bookmarkEnd w:id="0"/>
    <w:p>
      <w:pPr>
        <w:widowControl/>
        <w:shd w:val="clear" w:color="auto" w:fill="FFFFFF"/>
        <w:wordWrap w:val="0"/>
        <w:snapToGrid w:val="0"/>
        <w:spacing w:line="375" w:lineRule="atLeast"/>
        <w:ind w:left="300"/>
        <w:jc w:val="left"/>
        <w:rPr>
          <w:rFonts w:ascii="宋体" w:hAnsi="宋体" w:cs="宋体"/>
          <w:b/>
          <w:color w:val="001D4C"/>
          <w:kern w:val="0"/>
          <w:sz w:val="24"/>
        </w:rPr>
      </w:pPr>
      <w:r>
        <w:rPr>
          <w:rFonts w:hint="eastAsia" w:ascii="宋体" w:hAnsi="宋体" w:cs="宋体"/>
          <w:b/>
          <w:color w:val="001D4C"/>
          <w:kern w:val="0"/>
          <w:sz w:val="24"/>
        </w:rPr>
        <w:t>一、总体资料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right="-939" w:firstLine="480"/>
        <w:jc w:val="left"/>
        <w:rPr>
          <w:rFonts w:hint="eastAsia" w:ascii="宋体" w:hAnsi="宋体" w:cs="Arial"/>
          <w:color w:val="001D4C"/>
          <w:kern w:val="0"/>
          <w:sz w:val="24"/>
        </w:rPr>
      </w:pPr>
      <w:r>
        <w:rPr>
          <w:rFonts w:ascii="宋体" w:hAnsi="宋体" w:cs="Arial"/>
          <w:color w:val="001D4C"/>
          <w:kern w:val="0"/>
          <w:sz w:val="24"/>
        </w:rPr>
        <w:t>资产占有方需提供的资产评估资料清单，主要包括：</w:t>
      </w:r>
    </w:p>
    <w:p>
      <w:pPr>
        <w:widowControl/>
        <w:shd w:val="clear" w:color="auto" w:fill="FFFFFF"/>
        <w:tabs>
          <w:tab w:val="left" w:pos="840"/>
        </w:tabs>
        <w:wordWrap w:val="0"/>
        <w:snapToGrid w:val="0"/>
        <w:spacing w:line="375" w:lineRule="atLeast"/>
        <w:ind w:left="840" w:right="-939" w:hanging="360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宋体"/>
          <w:color w:val="001D4C"/>
          <w:kern w:val="0"/>
          <w:sz w:val="24"/>
        </w:rPr>
        <w:t>1、</w:t>
      </w:r>
      <w:r>
        <w:rPr>
          <w:rFonts w:ascii="宋体" w:hAnsi="宋体" w:cs="Arial"/>
          <w:color w:val="001D4C"/>
          <w:kern w:val="0"/>
          <w:sz w:val="24"/>
        </w:rPr>
        <w:t>企业法人营业执照、税务登记证；</w:t>
      </w:r>
    </w:p>
    <w:p>
      <w:pPr>
        <w:widowControl/>
        <w:shd w:val="clear" w:color="auto" w:fill="FFFFFF"/>
        <w:tabs>
          <w:tab w:val="left" w:pos="840"/>
        </w:tabs>
        <w:wordWrap w:val="0"/>
        <w:snapToGrid w:val="0"/>
        <w:spacing w:line="375" w:lineRule="atLeast"/>
        <w:ind w:left="840" w:right="-939" w:hanging="360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宋体"/>
          <w:color w:val="001D4C"/>
          <w:kern w:val="0"/>
          <w:sz w:val="24"/>
        </w:rPr>
        <w:t>2、</w:t>
      </w:r>
      <w:r>
        <w:rPr>
          <w:rFonts w:ascii="宋体" w:hAnsi="宋体" w:cs="Arial"/>
          <w:color w:val="001D4C"/>
          <w:kern w:val="0"/>
          <w:sz w:val="24"/>
        </w:rPr>
        <w:t>企业及企业法人简介、组织（股权）结构</w:t>
      </w:r>
      <w:r>
        <w:rPr>
          <w:rFonts w:hint="eastAsia" w:ascii="宋体" w:hAnsi="宋体" w:cs="Arial"/>
          <w:color w:val="001D4C"/>
          <w:kern w:val="0"/>
          <w:sz w:val="24"/>
        </w:rPr>
        <w:t>、</w:t>
      </w:r>
      <w:bookmarkStart w:id="1" w:name="_GoBack"/>
      <w:bookmarkEnd w:id="1"/>
      <w:r>
        <w:rPr>
          <w:rFonts w:hint="eastAsia" w:ascii="宋体" w:hAnsi="宋体" w:cs="Arial"/>
          <w:color w:val="001D4C"/>
          <w:kern w:val="0"/>
          <w:sz w:val="24"/>
        </w:rPr>
        <w:t>验资报告</w:t>
      </w:r>
      <w:r>
        <w:rPr>
          <w:rFonts w:ascii="宋体" w:hAnsi="宋体" w:cs="Arial"/>
          <w:color w:val="001D4C"/>
          <w:kern w:val="0"/>
          <w:sz w:val="24"/>
        </w:rPr>
        <w:t>；</w:t>
      </w:r>
    </w:p>
    <w:p>
      <w:pPr>
        <w:widowControl/>
        <w:shd w:val="clear" w:color="auto" w:fill="FFFFFF"/>
        <w:tabs>
          <w:tab w:val="left" w:pos="840"/>
        </w:tabs>
        <w:wordWrap w:val="0"/>
        <w:snapToGrid w:val="0"/>
        <w:spacing w:line="375" w:lineRule="atLeast"/>
        <w:ind w:left="840" w:right="156" w:hanging="360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宋体"/>
          <w:color w:val="001D4C"/>
          <w:kern w:val="0"/>
          <w:sz w:val="24"/>
        </w:rPr>
        <w:t>3、</w:t>
      </w:r>
      <w:r>
        <w:rPr>
          <w:rFonts w:ascii="宋体" w:hAnsi="宋体" w:cs="Arial"/>
          <w:color w:val="001D4C"/>
          <w:kern w:val="0"/>
          <w:sz w:val="24"/>
        </w:rPr>
        <w:t>评估基准日资产负债表；</w:t>
      </w:r>
    </w:p>
    <w:p>
      <w:pPr>
        <w:widowControl/>
        <w:shd w:val="clear" w:color="auto" w:fill="FFFFFF"/>
        <w:tabs>
          <w:tab w:val="left" w:pos="840"/>
        </w:tabs>
        <w:wordWrap w:val="0"/>
        <w:snapToGrid w:val="0"/>
        <w:spacing w:line="375" w:lineRule="atLeast"/>
        <w:ind w:left="840" w:right="156" w:hanging="360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宋体"/>
          <w:color w:val="001D4C"/>
          <w:kern w:val="0"/>
          <w:sz w:val="24"/>
        </w:rPr>
        <w:t>4、</w:t>
      </w:r>
      <w:r>
        <w:rPr>
          <w:rFonts w:ascii="宋体" w:hAnsi="宋体" w:cs="Arial"/>
          <w:color w:val="001D4C"/>
          <w:kern w:val="0"/>
          <w:sz w:val="24"/>
        </w:rPr>
        <w:t>提供距评估基准日最近</w:t>
      </w:r>
      <w:r>
        <w:rPr>
          <w:rFonts w:hint="eastAsia" w:ascii="宋体" w:hAnsi="宋体" w:cs="Arial"/>
          <w:color w:val="001D4C"/>
          <w:kern w:val="0"/>
          <w:sz w:val="24"/>
        </w:rPr>
        <w:t>三年</w:t>
      </w:r>
      <w:r>
        <w:rPr>
          <w:rFonts w:ascii="宋体" w:hAnsi="宋体" w:cs="Arial"/>
          <w:color w:val="001D4C"/>
          <w:kern w:val="0"/>
          <w:sz w:val="24"/>
        </w:rPr>
        <w:t>注册会计师审计后的审计报告书；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right="-61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Arial"/>
          <w:color w:val="001D4C"/>
          <w:kern w:val="0"/>
          <w:sz w:val="24"/>
        </w:rPr>
        <w:t xml:space="preserve">    5、相关经济行为的批文（上级主管部门对企业申请评估的批文）等涉及或可能涉及企业产权（股权）关系变动的法律文件；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leftChars="143" w:right="848" w:firstLine="240" w:firstLineChars="100"/>
        <w:jc w:val="left"/>
        <w:rPr>
          <w:rFonts w:ascii="宋体" w:hAnsi="宋体" w:cs="宋体"/>
          <w:color w:val="001D4C"/>
          <w:kern w:val="0"/>
          <w:sz w:val="24"/>
        </w:rPr>
      </w:pPr>
      <w:r>
        <w:rPr>
          <w:color w:val="001D4C"/>
          <w:kern w:val="0"/>
          <w:sz w:val="24"/>
        </w:rPr>
        <w:t>6</w:t>
      </w:r>
      <w:r>
        <w:rPr>
          <w:rFonts w:hint="eastAsia" w:hAnsi="宋体" w:cs="宋体"/>
          <w:color w:val="001D4C"/>
          <w:kern w:val="0"/>
          <w:sz w:val="24"/>
        </w:rPr>
        <w:t>、企业所在行业的背景资料（行业经济及行业技术水平、现状与发展趋势）；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480" w:right="-939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Arial"/>
          <w:color w:val="001D4C"/>
          <w:kern w:val="0"/>
          <w:sz w:val="24"/>
        </w:rPr>
        <w:t>7、土地使用权证、土地红线图、厂区总平面图、土地证、地下（供水管）设施布置图；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right="-939" w:firstLine="480"/>
        <w:jc w:val="left"/>
        <w:rPr>
          <w:rFonts w:ascii="宋体" w:hAnsi="宋体" w:cs="Arial"/>
          <w:color w:val="001D4C"/>
          <w:kern w:val="0"/>
          <w:sz w:val="24"/>
        </w:rPr>
      </w:pPr>
      <w:r>
        <w:rPr>
          <w:rFonts w:ascii="宋体" w:hAnsi="宋体" w:cs="Arial"/>
          <w:color w:val="001D4C"/>
          <w:kern w:val="0"/>
          <w:sz w:val="24"/>
        </w:rPr>
        <w:t>8、委托方承诺函（由评估机构提供式样）。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ascii="黑体" w:hAnsi="宋体" w:eastAsia="黑体" w:cs="宋体"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ind w:left="300"/>
        <w:jc w:val="left"/>
        <w:rPr>
          <w:rFonts w:hint="eastAsia" w:ascii="宋体" w:hAnsi="宋体" w:cs="宋体"/>
          <w:b/>
          <w:color w:val="001D4C"/>
          <w:kern w:val="0"/>
          <w:sz w:val="24"/>
        </w:rPr>
      </w:pPr>
      <w:r>
        <w:rPr>
          <w:rFonts w:hint="eastAsia" w:ascii="宋体" w:hAnsi="宋体" w:cs="宋体"/>
          <w:b/>
          <w:color w:val="001D4C"/>
          <w:kern w:val="0"/>
          <w:sz w:val="24"/>
        </w:rPr>
        <w:t>二、分项评估资料（所有数字截止评估基准日）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hint="eastAsia" w:ascii="宋体" w:hAnsi="宋体" w:cs="宋体"/>
          <w:i/>
          <w:color w:val="001D4C"/>
          <w:kern w:val="0"/>
          <w:sz w:val="24"/>
        </w:rPr>
      </w:pPr>
      <w:r>
        <w:rPr>
          <w:rFonts w:hint="eastAsia" w:ascii="宋体" w:hAnsi="宋体" w:cs="宋体"/>
          <w:i/>
          <w:color w:val="001D4C"/>
          <w:kern w:val="0"/>
          <w:sz w:val="24"/>
        </w:rPr>
        <w:t>注：标※号为需附加资料或在申报表中填明事项。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资产类项目（核查/评估）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货币资金——现金核查（表3-1-1）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货币资金——银行存款核查（表3-1-2）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银行存款对账单及存款余额调节表、未达账项逐笔说明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货币资金——其他货币资金（表3-1-3）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其他货币资金核查（外埠存款、银行汇票、银行本票存款）说明（存在形式、原因）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4）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短期投资——股票投资评估（表3-2-1）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股票凭证复印件（一年以上按长期投资评估）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5）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短期投资——债券投资评估（表3-2-2）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债券凭证复印件（一年以上按长期投资评估）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6）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应收票据核查（表3-3）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表中所载各项票据复印件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7）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应收账款核查（表3-4）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应收账款询证函（根据应收账款重要程度确定询证比例）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重点债务单位抽查情况说明（部分商品销售、出库、销售入账的单证）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8）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应收股利（应收利润）（表3-5）、应收利息（表3-6）、预付账款（表3-7）、应收补贴款（表3-8）、其他应收款（表3-9）[核查]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重点核查明细账及会计凭证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外部债权重点询证（确认是否存在及存在形式，了解债务人资金信用、管理状况，作为评估坏账的依据）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内部独立核算单位双向核对（如合并则评估值为零）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9）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存货——原材料（评估）（表3-10-1）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实物盘点表</w:t>
      </w:r>
    </w:p>
    <w:p>
      <w:pPr>
        <w:widowControl/>
        <w:shd w:val="clear" w:color="auto" w:fill="FFFFFF"/>
        <w:tabs>
          <w:tab w:val="left" w:pos="420"/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非正常状态材料清单[列明实物数量、状态类别（霉烂、变质、损毁、超储呆滞）、账面价值、对应评估明细表序号等项目]</w:t>
      </w:r>
      <w:r>
        <w:rPr>
          <w:color w:val="001D4C"/>
          <w:kern w:val="0"/>
          <w:sz w:val="24"/>
        </w:rPr>
        <w:t xml:space="preserve"> </w:t>
      </w:r>
    </w:p>
    <w:p>
      <w:pPr>
        <w:widowControl/>
        <w:shd w:val="clear" w:color="auto" w:fill="FFFFFF"/>
        <w:tabs>
          <w:tab w:val="left" w:pos="420"/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清查中发现的盘盈、盘亏、毁损、报废、呆坏账、无需偿付的负债情况及原因分析</w:t>
      </w:r>
    </w:p>
    <w:p>
      <w:pPr>
        <w:widowControl/>
        <w:shd w:val="clear" w:color="auto" w:fill="FFFFFF"/>
        <w:tabs>
          <w:tab w:val="left" w:pos="420"/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主要材料采购合同或材料清单、主要材料采购价格一览表（列明品种、规格及单价）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10）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存货——材料采购（在途材料）评估（表3-10-2）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11）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存货——在库低值耗品评估（表3-10-3）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12）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存货——包装物评估（表3-10-4）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13）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存货——委托加工材料评估（表3-10-5）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委托加工合同，其余同（9）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14）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存货——产成品（库存商品）评估（表3-10-6）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产品出厂销售价格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产品（库存商品）盘点表（列示品种、规格、报废产品应注明）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主要产品销售合同、部分大额销售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产成品成本构成分析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15）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存货——在产品（自制半成品）评估（表3-10-7）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在产品成本构成项目（列示品名、材料成本、工资成本及制造费用）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合理生产周期的材料、工资及制造费用变动幅度（投入时/评估时）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在产品现行消耗定额（材料定额、工时定额）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在产品完工程度（约当产量）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报废的在产品清单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16）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存货——分期收款发出商品（核查）（表3-10-8）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17）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存货——委托代销商品（核查）（表3-10-10）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18）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存货——委托代销商品（核查）（表3-10-11）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19）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待摊费用（评估）（表3-11）、开办费（评估）（表7-1）、长途待摊费用（评估）（表7-2）、其他长期资产（核查）（表8-1）、递延税款借项（核查）（表8-2）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递延资产和待摊费用对应的资产（或权利）类别（属性）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20）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待处理流动资产净损失（评估）（表3-12）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待处理流动资产状况[列示对应表号、品名、处理原因（报废、残损等）、鉴定（或检验）书]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21）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一年内到期的长期债券投资（评估）（表3-13）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债券凭证复印件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22）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其他流动资产（核查）（表3-14）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23）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长期投资——股票投资（评估）（表4-1）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股票（股权证）复印件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优先股固定年回报率、转让年限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普通股预计年股利收入及出手价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股票发行公司的股利分配政策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24）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长期投资——其他投资（评估）（表4-3）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企业联营或合资合同（协议）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25）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长期投资——债券投资（评估）（表4-2）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债券盘点表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债券凭证复印件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债券交易合同或协议（不含长期投资——一年内到期的长期债券投资）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26）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固定资产——房屋建筑物评估（表5-1-1）、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  主要</w:t>
      </w:r>
      <w:r>
        <w:rPr>
          <w:rFonts w:hint="eastAsia" w:hAnsi="宋体" w:cs="宋体"/>
          <w:color w:val="001D4C"/>
          <w:kern w:val="0"/>
          <w:sz w:val="24"/>
        </w:rPr>
        <w:t>房屋实况调查表、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27）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固定资产——构筑物及其他辅助设施评估表（表5-1-2）、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28）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固定资产——管理和沟槽评估表（表5-1-3）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hAnsi="宋体" w:cs="宋体"/>
          <w:color w:val="001D4C"/>
          <w:kern w:val="0"/>
          <w:sz w:val="24"/>
        </w:rPr>
        <w:t>建设规划许可证、开工证明、</w:t>
      </w:r>
      <w:r>
        <w:rPr>
          <w:rFonts w:hint="eastAsia" w:ascii="宋体" w:hAnsi="宋体" w:cs="宋体"/>
          <w:color w:val="001D4C"/>
          <w:kern w:val="0"/>
          <w:sz w:val="24"/>
        </w:rPr>
        <w:t>房产证、竣工决算书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29）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固定资产——机器设备评估表（表5-2）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主要机器、高价值设备及高精尖设备采购合同、</w:t>
      </w:r>
      <w:r>
        <w:rPr>
          <w:rFonts w:hint="eastAsia" w:hAnsi="宋体" w:cs="宋体"/>
          <w:color w:val="001D4C"/>
          <w:kern w:val="0"/>
          <w:sz w:val="24"/>
        </w:rPr>
        <w:t>车辆行驶证、</w:t>
      </w:r>
      <w:r>
        <w:rPr>
          <w:rFonts w:hint="eastAsia" w:ascii="宋体" w:hAnsi="宋体" w:cs="宋体"/>
          <w:color w:val="001D4C"/>
          <w:kern w:val="0"/>
          <w:sz w:val="24"/>
        </w:rPr>
        <w:t>有关会计凭证等</w:t>
      </w:r>
      <w:r>
        <w:rPr>
          <w:rFonts w:hint="eastAsia" w:hAnsi="宋体" w:cs="宋体"/>
          <w:color w:val="001D4C"/>
          <w:kern w:val="0"/>
          <w:sz w:val="24"/>
        </w:rPr>
        <w:t>复印件</w:t>
      </w:r>
      <w:r>
        <w:rPr>
          <w:rFonts w:hint="eastAsia" w:ascii="宋体" w:hAnsi="宋体" w:cs="宋体"/>
          <w:color w:val="001D4C"/>
          <w:kern w:val="0"/>
          <w:sz w:val="24"/>
        </w:rPr>
        <w:t>、</w:t>
      </w:r>
      <w:r>
        <w:rPr>
          <w:rFonts w:hint="eastAsia" w:hAnsi="宋体" w:cs="宋体"/>
          <w:color w:val="001D4C"/>
          <w:kern w:val="0"/>
          <w:sz w:val="24"/>
        </w:rPr>
        <w:t>主要设备实况调查表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对待报废，不需用、未使用、高、精、尖设备毁损技术检测状况和继续使用的可能性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自制设备成本计算单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固定资产租赁协议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30）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固定资产——电子设备评估表（表5-2-3）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主要设备采购合同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31）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工程物资评估表（表5-4）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同9）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32）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固定资产清理评估表（表5-5）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固定资产清理依据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33）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待处理固定资产净损失评估表（表5-6）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固定资产报废、毁损等处理依据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34）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无形资产——土地使用权评估表（表6-1）此项暂不需要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用地规划许可证、土地使用权证、土地使用权证出让及转让合同、开发成本：土地出让金、拆迁费、勘察费、设计费、清苗费、利息支出等资料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35）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无形资产——其他无形资产评估表（表6-2）此项暂不需要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900" w:right="424" w:hanging="60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见“评估资料搜集目录”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hint="eastAsia" w:ascii="宋体" w:hAnsi="宋体" w:cs="宋体"/>
          <w:color w:val="001D4C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2、负债类项目：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短期借款评估表（表9-1）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短期借款合同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抵押、担保、质押合同、协议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应付票据评估表（表9-2）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各种票据复印件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抵押、担保、质押合同、协议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3）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应付账款评估表（表9-3）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大额应付账款购货合同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余额为负数账户要重点注意，并提请委托方予以调整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对货到未到的购货提请按暂估价入账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4）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预收账款评估表（表9-4）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大额货物销售合同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余额为负数账户要注意提请委托方调整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5）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代销商品款评估表（表9-5）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代销合同或协议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6）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其他应付款评估表（表9-6）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7）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应付工资评估表（表9-7）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8）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应付福利费评估表（表9-8）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福利费的提请基数、比例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福利费的开支范围、标准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9）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</w:rPr>
        <w:t>应交税金评估表（表9-10）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适用税种、计税政策、税率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税收优惠政策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10）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应付利润（股利）评估表（表9-11）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利润（股利）分配政策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11）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其他应交款评估表（表9-11）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其他应交款种类、计费依据、比例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减免政策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12）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预提费用评估表（表9-12）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费用种类、预提依据、比例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13）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一年内到期的长期负债评估表（表9-13）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核查长期负债到期日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14）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其他流动负债评估表（表9-14）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15）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长期借款评估表（表10-1）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长期借款合同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抵押、担保、质押合同或协议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16）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应付债券评估表（表10-2）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债券发行批文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债券契约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债权人名册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17）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长期应付款评估表（表10-3）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经济行为（融资租赁、租入固定资产改良等）合同协议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18）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住房周转金评估表（表10-4）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住房周转金筹集、使用制度</w:t>
      </w:r>
    </w:p>
    <w:p>
      <w:pPr>
        <w:widowControl/>
        <w:shd w:val="clear" w:color="auto" w:fill="FFFFFF"/>
        <w:tabs>
          <w:tab w:val="left" w:pos="615"/>
        </w:tabs>
        <w:wordWrap w:val="0"/>
        <w:snapToGrid w:val="0"/>
        <w:spacing w:line="375" w:lineRule="atLeast"/>
        <w:ind w:left="615" w:right="424" w:hanging="315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19）</w:t>
      </w:r>
      <w:r>
        <w:rPr>
          <w:color w:val="001D4C"/>
          <w:kern w:val="0"/>
          <w:sz w:val="14"/>
          <w:szCs w:val="14"/>
        </w:rPr>
        <w:t xml:space="preserve">  </w:t>
      </w:r>
      <w:r>
        <w:rPr>
          <w:rFonts w:hint="eastAsia" w:ascii="宋体" w:hAnsi="宋体" w:cs="宋体"/>
          <w:color w:val="001D4C"/>
          <w:kern w:val="0"/>
          <w:sz w:val="24"/>
        </w:rPr>
        <w:t>其他长期负债评估表（表10-5）</w:t>
      </w:r>
    </w:p>
    <w:p>
      <w:pPr>
        <w:widowControl/>
        <w:shd w:val="clear" w:color="auto" w:fill="FFFFFF"/>
        <w:tabs>
          <w:tab w:val="left" w:pos="510"/>
        </w:tabs>
        <w:wordWrap w:val="0"/>
        <w:snapToGrid w:val="0"/>
        <w:spacing w:line="375" w:lineRule="atLeast"/>
        <w:ind w:left="510" w:right="424" w:hanging="210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※</w:t>
      </w:r>
      <w:r>
        <w:rPr>
          <w:color w:val="001D4C"/>
          <w:kern w:val="0"/>
          <w:sz w:val="14"/>
          <w:szCs w:val="14"/>
        </w:rPr>
        <w:t xml:space="preserve">          </w:t>
      </w:r>
      <w:r>
        <w:rPr>
          <w:rFonts w:hint="eastAsia" w:ascii="宋体" w:hAnsi="宋体" w:cs="宋体"/>
          <w:color w:val="001D4C"/>
          <w:kern w:val="0"/>
          <w:sz w:val="24"/>
        </w:rPr>
        <w:t>相关经济行为发生凭证</w:t>
      </w:r>
    </w:p>
    <w:p>
      <w:pPr>
        <w:widowControl/>
        <w:shd w:val="clear" w:color="auto" w:fill="FFFFFF"/>
        <w:wordWrap w:val="0"/>
        <w:snapToGrid w:val="0"/>
        <w:spacing w:line="375" w:lineRule="atLeast"/>
        <w:ind w:left="300" w:right="424"/>
        <w:jc w:val="left"/>
        <w:rPr>
          <w:rFonts w:hint="eastAsia" w:ascii="宋体" w:hAnsi="宋体" w:cs="宋体"/>
          <w:color w:val="001D4C"/>
          <w:kern w:val="0"/>
          <w:sz w:val="24"/>
        </w:rPr>
      </w:pPr>
      <w:r>
        <w:rPr>
          <w:rFonts w:hint="eastAsia" w:ascii="宋体" w:hAnsi="宋体" w:cs="宋体"/>
          <w:color w:val="001D4C"/>
          <w:kern w:val="0"/>
          <w:sz w:val="24"/>
        </w:rPr>
        <w:t>20）递延税款贷项评估表（表10-6）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11EE"/>
    <w:rsid w:val="2B011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2018-08-31T16:32:00Z</dcterms:created>
  <dc:creator>zhangcj1996</dc:creator>
  <cp:lastModifiedBy>zhangcj1996</cp:lastModifiedBy>
  <dcterms:modified xsi:type="dcterms:W3CDTF">2018-08-31T16:32:29Z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